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68032" w14:textId="77777777" w:rsidR="00BB1C7C" w:rsidRDefault="00BB1C7C" w:rsidP="00622774">
      <w:pPr>
        <w:adjustRightInd w:val="0"/>
        <w:snapToGrid w:val="0"/>
        <w:jc w:val="center"/>
        <w:rPr>
          <w:rFonts w:ascii="方正小标宋简体" w:eastAsia="方正小标宋简体" w:hAnsi="黑体" w:hint="eastAsia"/>
          <w:sz w:val="44"/>
          <w:szCs w:val="44"/>
        </w:rPr>
      </w:pPr>
    </w:p>
    <w:p w14:paraId="71BE62F4" w14:textId="77777777" w:rsidR="00BB1C7C" w:rsidRDefault="00000000" w:rsidP="00622774">
      <w:pPr>
        <w:adjustRightInd w:val="0"/>
        <w:snapToGrid w:val="0"/>
        <w:jc w:val="center"/>
        <w:rPr>
          <w:rFonts w:ascii="方正小标宋简体" w:eastAsia="方正小标宋简体" w:hAnsi="黑体" w:hint="eastAsia"/>
          <w:sz w:val="44"/>
          <w:szCs w:val="44"/>
        </w:rPr>
      </w:pPr>
      <w:r>
        <w:rPr>
          <w:rFonts w:ascii="方正小标宋简体" w:eastAsia="方正小标宋简体" w:hAnsi="黑体" w:hint="eastAsia"/>
          <w:sz w:val="44"/>
          <w:szCs w:val="44"/>
        </w:rPr>
        <w:t>厦门火炬高新区关于加快推动实体经济高质量发展的若干措施</w:t>
      </w:r>
    </w:p>
    <w:p w14:paraId="648849B2" w14:textId="3B0C7251" w:rsidR="00BB1C7C" w:rsidRDefault="00622774" w:rsidP="00622774">
      <w:pPr>
        <w:jc w:val="center"/>
        <w:rPr>
          <w:rFonts w:ascii="仿宋_GB2312" w:eastAsia="仿宋_GB2312" w:hAnsi="仿宋"/>
          <w:sz w:val="32"/>
          <w:szCs w:val="32"/>
        </w:rPr>
      </w:pPr>
      <w:r w:rsidRPr="00622774">
        <w:rPr>
          <w:rFonts w:ascii="仿宋_GB2312" w:eastAsia="仿宋_GB2312" w:hAnsi="仿宋" w:hint="eastAsia"/>
          <w:sz w:val="32"/>
          <w:szCs w:val="32"/>
        </w:rPr>
        <w:t>(征求意见稿)</w:t>
      </w:r>
    </w:p>
    <w:p w14:paraId="0BEC86A8" w14:textId="77777777" w:rsidR="00622774" w:rsidRPr="00622774" w:rsidRDefault="00622774" w:rsidP="00622774">
      <w:pPr>
        <w:jc w:val="center"/>
        <w:rPr>
          <w:rFonts w:ascii="仿宋_GB2312" w:eastAsia="仿宋_GB2312" w:hAnsi="仿宋" w:hint="eastAsia"/>
          <w:sz w:val="32"/>
          <w:szCs w:val="32"/>
        </w:rPr>
      </w:pPr>
    </w:p>
    <w:p w14:paraId="55208CD6" w14:textId="77777777" w:rsidR="00BB1C7C" w:rsidRDefault="00000000">
      <w:pPr>
        <w:spacing w:line="59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为深入贯彻国家关于</w:t>
      </w:r>
      <w:r>
        <w:rPr>
          <w:rFonts w:ascii="仿宋_GB2312" w:eastAsia="仿宋_GB2312" w:hAnsi="仿宋"/>
          <w:sz w:val="32"/>
          <w:szCs w:val="32"/>
        </w:rPr>
        <w:t>坚持把发展经济着力点放在实体经济上的战略部署，全面落实省、市关于构建现代化产业体系、做实做</w:t>
      </w:r>
      <w:proofErr w:type="gramStart"/>
      <w:r>
        <w:rPr>
          <w:rFonts w:ascii="仿宋_GB2312" w:eastAsia="仿宋_GB2312" w:hAnsi="仿宋"/>
          <w:sz w:val="32"/>
          <w:szCs w:val="32"/>
        </w:rPr>
        <w:t>强做</w:t>
      </w:r>
      <w:proofErr w:type="gramEnd"/>
      <w:r>
        <w:rPr>
          <w:rFonts w:ascii="仿宋_GB2312" w:eastAsia="仿宋_GB2312" w:hAnsi="仿宋"/>
          <w:sz w:val="32"/>
          <w:szCs w:val="32"/>
        </w:rPr>
        <w:t>优实体经济的工作要求，进一步</w:t>
      </w:r>
      <w:r>
        <w:rPr>
          <w:rFonts w:ascii="仿宋_GB2312" w:eastAsia="仿宋_GB2312" w:hAnsi="仿宋" w:hint="eastAsia"/>
          <w:sz w:val="32"/>
          <w:szCs w:val="32"/>
        </w:rPr>
        <w:t>引导产业智能化、绿色化、融合化发展，</w:t>
      </w:r>
      <w:r>
        <w:rPr>
          <w:rFonts w:ascii="仿宋_GB2312" w:eastAsia="仿宋_GB2312" w:hAnsi="仿宋"/>
          <w:sz w:val="32"/>
          <w:szCs w:val="32"/>
        </w:rPr>
        <w:t>加快深化创新</w:t>
      </w:r>
      <w:proofErr w:type="gramStart"/>
      <w:r>
        <w:rPr>
          <w:rFonts w:ascii="仿宋_GB2312" w:eastAsia="仿宋_GB2312" w:hAnsi="仿宋"/>
          <w:sz w:val="32"/>
          <w:szCs w:val="32"/>
        </w:rPr>
        <w:t>链产业链人才链资金链</w:t>
      </w:r>
      <w:proofErr w:type="gramEnd"/>
      <w:r>
        <w:rPr>
          <w:rFonts w:ascii="仿宋_GB2312" w:eastAsia="仿宋_GB2312" w:hAnsi="仿宋"/>
          <w:sz w:val="32"/>
          <w:szCs w:val="32"/>
        </w:rPr>
        <w:t>深度融合，</w:t>
      </w:r>
      <w:r>
        <w:rPr>
          <w:rFonts w:ascii="仿宋_GB2312" w:eastAsia="仿宋_GB2312" w:hAnsi="仿宋" w:hint="eastAsia"/>
          <w:sz w:val="32"/>
          <w:szCs w:val="32"/>
        </w:rPr>
        <w:t>助推高新区经济高质量发展。现结合高新区实际，制定如下措施。</w:t>
      </w:r>
    </w:p>
    <w:p w14:paraId="0B14B2D8" w14:textId="77777777" w:rsidR="00BB1C7C" w:rsidRDefault="00000000">
      <w:pPr>
        <w:spacing w:line="590" w:lineRule="exact"/>
        <w:jc w:val="center"/>
        <w:rPr>
          <w:rFonts w:ascii="黑体" w:eastAsia="黑体" w:hAnsi="黑体" w:hint="eastAsia"/>
          <w:sz w:val="32"/>
          <w:szCs w:val="32"/>
        </w:rPr>
      </w:pPr>
      <w:r>
        <w:rPr>
          <w:rFonts w:ascii="黑体" w:eastAsia="黑体" w:hAnsi="黑体" w:hint="eastAsia"/>
          <w:sz w:val="32"/>
          <w:szCs w:val="32"/>
        </w:rPr>
        <w:t>第一章 鼓励智改数转</w:t>
      </w:r>
    </w:p>
    <w:p w14:paraId="0E275570" w14:textId="77777777" w:rsidR="00BB1C7C" w:rsidRDefault="00000000">
      <w:pPr>
        <w:snapToGrid w:val="0"/>
        <w:spacing w:line="590" w:lineRule="exact"/>
        <w:ind w:firstLineChars="200" w:firstLine="640"/>
        <w:rPr>
          <w:rFonts w:ascii="黑体" w:eastAsia="黑体" w:hAnsi="黑体" w:hint="eastAsia"/>
          <w:sz w:val="32"/>
          <w:szCs w:val="32"/>
        </w:rPr>
      </w:pPr>
      <w:r>
        <w:rPr>
          <w:rFonts w:ascii="黑体" w:eastAsia="黑体" w:hAnsi="黑体" w:hint="eastAsia"/>
          <w:sz w:val="32"/>
          <w:szCs w:val="32"/>
        </w:rPr>
        <w:t>第一条 支持企业加快智能化布局</w:t>
      </w:r>
    </w:p>
    <w:p w14:paraId="608548DF" w14:textId="77777777" w:rsidR="00BB1C7C" w:rsidRDefault="00000000">
      <w:pPr>
        <w:snapToGrid w:val="0"/>
        <w:spacing w:line="59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（一）</w:t>
      </w:r>
      <w:r>
        <w:rPr>
          <w:rFonts w:ascii="仿宋_GB2312" w:eastAsia="仿宋_GB2312" w:hAnsi="仿宋"/>
          <w:sz w:val="32"/>
          <w:szCs w:val="32"/>
        </w:rPr>
        <w:t>对年度设备投资 500 万元及以上的技术改造项目（含智能化改造），按市级工业固投补助政策执行</w:t>
      </w:r>
      <w:r>
        <w:rPr>
          <w:rFonts w:ascii="仿宋_GB2312" w:eastAsia="仿宋_GB2312" w:hAnsi="仿宋" w:hint="eastAsia"/>
          <w:sz w:val="32"/>
          <w:szCs w:val="32"/>
        </w:rPr>
        <w:t>。</w:t>
      </w:r>
    </w:p>
    <w:p w14:paraId="442DB156" w14:textId="77777777" w:rsidR="00BB1C7C" w:rsidRDefault="00000000">
      <w:pPr>
        <w:snapToGrid w:val="0"/>
        <w:spacing w:line="59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1.对有效期内的专精特新中小企业、专精特新“小巨人”企业，在享受市级政策的基础上，按最高不超过5%的工业投资予以叠加补助</w:t>
      </w:r>
      <w:r>
        <w:rPr>
          <w:rFonts w:ascii="仿宋_GB2312" w:eastAsia="仿宋_GB2312" w:hAnsi="仿宋"/>
          <w:sz w:val="32"/>
          <w:szCs w:val="32"/>
        </w:rPr>
        <w:t>。</w:t>
      </w:r>
    </w:p>
    <w:p w14:paraId="1E2F5656" w14:textId="77777777" w:rsidR="00BB1C7C" w:rsidRDefault="00000000">
      <w:pPr>
        <w:snapToGrid w:val="0"/>
        <w:spacing w:line="59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2.对年度建造无尘车间洁净等级千级、百级及以上等级的，</w:t>
      </w:r>
      <w:r>
        <w:rPr>
          <w:rFonts w:ascii="仿宋_GB2312" w:eastAsia="仿宋_GB2312" w:hAnsi="仿宋"/>
          <w:sz w:val="32"/>
          <w:szCs w:val="32"/>
        </w:rPr>
        <w:t>在享受市级工业固投补助的基础上，按其无尘车间设备投入的20%</w:t>
      </w:r>
      <w:r>
        <w:rPr>
          <w:rFonts w:eastAsia="仿宋_GB2312" w:cs="Calibri"/>
          <w:sz w:val="32"/>
          <w:szCs w:val="32"/>
        </w:rPr>
        <w:t> </w:t>
      </w:r>
      <w:r>
        <w:rPr>
          <w:rFonts w:ascii="仿宋_GB2312" w:eastAsia="仿宋_GB2312" w:hAnsi="仿宋"/>
          <w:sz w:val="32"/>
          <w:szCs w:val="32"/>
        </w:rPr>
        <w:t>给予补足</w:t>
      </w:r>
      <w:r>
        <w:rPr>
          <w:rFonts w:ascii="仿宋_GB2312" w:eastAsia="仿宋_GB2312" w:hAnsi="仿宋" w:hint="eastAsia"/>
          <w:sz w:val="32"/>
          <w:szCs w:val="32"/>
        </w:rPr>
        <w:t>。单家企业每年补助金额最高300万元。</w:t>
      </w:r>
    </w:p>
    <w:p w14:paraId="268FCB04" w14:textId="77777777" w:rsidR="00BB1C7C" w:rsidRDefault="00000000">
      <w:pPr>
        <w:snapToGrid w:val="0"/>
        <w:spacing w:line="590" w:lineRule="exact"/>
        <w:ind w:firstLineChars="200" w:firstLine="640"/>
        <w:rPr>
          <w:rFonts w:ascii="黑体" w:eastAsia="黑体" w:hAnsi="黑体" w:hint="eastAsia"/>
          <w:sz w:val="32"/>
          <w:szCs w:val="32"/>
        </w:rPr>
      </w:pPr>
      <w:r>
        <w:rPr>
          <w:rFonts w:ascii="仿宋_GB2312" w:eastAsia="仿宋_GB2312" w:hAnsi="仿宋" w:hint="eastAsia"/>
          <w:sz w:val="32"/>
          <w:szCs w:val="32"/>
        </w:rPr>
        <w:t>（二）对年度设备投资低于500万元的，最高按其经备案核准的智能化设备采购费用的10%予以支持</w:t>
      </w:r>
      <w:r>
        <w:rPr>
          <w:rFonts w:ascii="仿宋_GB2312" w:eastAsia="仿宋_GB2312" w:hAnsi="仿宋"/>
          <w:sz w:val="32"/>
          <w:szCs w:val="32"/>
        </w:rPr>
        <w:t>，</w:t>
      </w:r>
      <w:r>
        <w:rPr>
          <w:rFonts w:ascii="仿宋_GB2312" w:eastAsia="仿宋_GB2312" w:hAnsi="仿宋" w:hint="eastAsia"/>
          <w:sz w:val="32"/>
          <w:szCs w:val="32"/>
        </w:rPr>
        <w:t>单家企业每</w:t>
      </w:r>
      <w:r>
        <w:rPr>
          <w:rFonts w:ascii="仿宋_GB2312" w:eastAsia="仿宋_GB2312" w:hAnsi="仿宋" w:hint="eastAsia"/>
          <w:sz w:val="32"/>
          <w:szCs w:val="32"/>
        </w:rPr>
        <w:lastRenderedPageBreak/>
        <w:t>年补助金额不超过50万元。</w:t>
      </w:r>
    </w:p>
    <w:p w14:paraId="5C2C79E0" w14:textId="77777777" w:rsidR="00BB1C7C" w:rsidRDefault="00000000">
      <w:pPr>
        <w:snapToGrid w:val="0"/>
        <w:spacing w:line="590" w:lineRule="exact"/>
        <w:ind w:firstLineChars="200" w:firstLine="640"/>
        <w:rPr>
          <w:rFonts w:ascii="黑体" w:eastAsia="黑体" w:hAnsi="黑体" w:hint="eastAsia"/>
          <w:sz w:val="32"/>
          <w:szCs w:val="32"/>
        </w:rPr>
      </w:pPr>
      <w:r>
        <w:rPr>
          <w:rFonts w:ascii="黑体" w:eastAsia="黑体" w:hAnsi="黑体" w:hint="eastAsia"/>
          <w:sz w:val="32"/>
          <w:szCs w:val="32"/>
        </w:rPr>
        <w:t>第二条 支持企业数字化升级</w:t>
      </w:r>
    </w:p>
    <w:p w14:paraId="25BEFFCF" w14:textId="77777777" w:rsidR="00BB1C7C" w:rsidRDefault="00000000">
      <w:pPr>
        <w:snapToGrid w:val="0"/>
        <w:spacing w:line="59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支持工业企业通过购买智能制造整体解决方案（含工业软件）开展数字化改造，最高按其备案核准的年度购买费用总额的40%给予补助，单家企业每年补助金额不超过50万元。</w:t>
      </w:r>
    </w:p>
    <w:p w14:paraId="07FC2710" w14:textId="77777777" w:rsidR="00BB1C7C" w:rsidRDefault="00000000">
      <w:pPr>
        <w:snapToGrid w:val="0"/>
        <w:spacing w:line="590" w:lineRule="exact"/>
        <w:ind w:firstLineChars="200" w:firstLine="640"/>
        <w:rPr>
          <w:rFonts w:ascii="黑体" w:eastAsia="黑体" w:hAnsi="黑体" w:hint="eastAsia"/>
          <w:sz w:val="32"/>
          <w:szCs w:val="32"/>
        </w:rPr>
      </w:pPr>
      <w:r>
        <w:rPr>
          <w:rFonts w:ascii="黑体" w:eastAsia="黑体" w:hAnsi="黑体" w:hint="eastAsia"/>
          <w:sz w:val="32"/>
          <w:szCs w:val="32"/>
        </w:rPr>
        <w:t>第三条 优化要素保障</w:t>
      </w:r>
    </w:p>
    <w:p w14:paraId="11552132" w14:textId="77777777" w:rsidR="00BB1C7C" w:rsidRDefault="00000000">
      <w:pPr>
        <w:snapToGrid w:val="0"/>
        <w:spacing w:line="59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以政府购买服务的形式，遴选优秀智能制造综合服务机构免费为企业提供智能工厂梯度培育诊断服务，分层分级系统性推进高新区智能工厂建设；聚焦企业数字化人才需求，引进数字化智能化优质师资资源，构建专家智库，常态化开展企业专业人才培育服务，提升企业经营管理人员数字化意识和能力。</w:t>
      </w:r>
    </w:p>
    <w:p w14:paraId="6BF99FB6" w14:textId="77777777" w:rsidR="00BB1C7C" w:rsidRDefault="00000000">
      <w:pPr>
        <w:snapToGrid w:val="0"/>
        <w:spacing w:line="590" w:lineRule="exact"/>
        <w:ind w:firstLineChars="200" w:firstLine="640"/>
        <w:rPr>
          <w:rFonts w:ascii="黑体" w:eastAsia="黑体" w:hAnsi="黑体" w:hint="eastAsia"/>
          <w:sz w:val="32"/>
          <w:szCs w:val="32"/>
        </w:rPr>
      </w:pPr>
      <w:r>
        <w:rPr>
          <w:rFonts w:ascii="黑体" w:eastAsia="黑体" w:hAnsi="黑体" w:hint="eastAsia"/>
          <w:sz w:val="32"/>
          <w:szCs w:val="32"/>
        </w:rPr>
        <w:t>第四条 打造智能制造示范工程</w:t>
      </w:r>
    </w:p>
    <w:p w14:paraId="5051CDA6" w14:textId="77777777" w:rsidR="00BB1C7C" w:rsidRDefault="00000000">
      <w:pPr>
        <w:snapToGrid w:val="0"/>
        <w:spacing w:line="590"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鼓励企业开展国家智能制造能力成熟度模型评估，实施柔性化、智能化、精细化生产示范工厂建设。对通过评估并获得国家智能制造能力成熟度三级、四级、五级认证的，分别给予50 万元、100 万元、200 万元一次性奖励；对年度获评卓越级、领航级智能工厂的，分别给予80 万元、150 万元一次性奖励。同一企业的荣誉升级奖励（含成熟度等级认证、国家级智能工厂）按照累进补差的原则，补足至其可享受的最高奖励金额。对年度获评“灯塔工厂”的，再给予200万元一次性奖励。</w:t>
      </w:r>
    </w:p>
    <w:p w14:paraId="6AB0BDC4" w14:textId="77777777" w:rsidR="00BB1C7C" w:rsidRDefault="00000000">
      <w:pPr>
        <w:spacing w:line="590" w:lineRule="exact"/>
        <w:jc w:val="center"/>
        <w:rPr>
          <w:rFonts w:ascii="黑体" w:eastAsia="黑体" w:hAnsi="黑体" w:hint="eastAsia"/>
          <w:sz w:val="32"/>
          <w:szCs w:val="32"/>
        </w:rPr>
      </w:pPr>
      <w:r>
        <w:rPr>
          <w:rFonts w:ascii="黑体" w:eastAsia="黑体" w:hAnsi="黑体" w:hint="eastAsia"/>
          <w:sz w:val="32"/>
          <w:szCs w:val="32"/>
        </w:rPr>
        <w:t>第二章 聚力绿色发展</w:t>
      </w:r>
    </w:p>
    <w:p w14:paraId="4F8ACB84" w14:textId="77777777" w:rsidR="00BB1C7C" w:rsidRDefault="00000000">
      <w:pPr>
        <w:snapToGrid w:val="0"/>
        <w:spacing w:line="590" w:lineRule="exact"/>
        <w:ind w:firstLineChars="200" w:firstLine="640"/>
        <w:rPr>
          <w:rFonts w:ascii="黑体" w:eastAsia="黑体" w:hAnsi="黑体" w:hint="eastAsia"/>
          <w:sz w:val="32"/>
          <w:szCs w:val="32"/>
        </w:rPr>
      </w:pPr>
      <w:r>
        <w:rPr>
          <w:rFonts w:ascii="黑体" w:eastAsia="黑体" w:hAnsi="黑体" w:hint="eastAsia"/>
          <w:sz w:val="32"/>
          <w:szCs w:val="32"/>
        </w:rPr>
        <w:lastRenderedPageBreak/>
        <w:t>第五条 支持企业建设数字化能碳管理中心</w:t>
      </w:r>
    </w:p>
    <w:p w14:paraId="5350D1DB" w14:textId="77777777" w:rsidR="00BB1C7C" w:rsidRDefault="00000000">
      <w:pPr>
        <w:snapToGrid w:val="0"/>
        <w:spacing w:line="59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鼓励工业企业建设数字化能碳管理中心，对符合工信部《工业企业和园区数字化能碳管理中心建设指南》相关要求的，</w:t>
      </w:r>
      <w:r>
        <w:rPr>
          <w:rFonts w:ascii="仿宋_GB2312" w:eastAsia="仿宋_GB2312" w:hAnsi="仿宋" w:hint="eastAsia"/>
          <w:sz w:val="32"/>
          <w:szCs w:val="32"/>
        </w:rPr>
        <w:t>在享受市级政策的基础上，最高</w:t>
      </w:r>
      <w:r>
        <w:rPr>
          <w:rFonts w:ascii="仿宋_GB2312" w:eastAsia="仿宋_GB2312" w:hAnsi="仿宋"/>
          <w:sz w:val="32"/>
          <w:szCs w:val="32"/>
        </w:rPr>
        <w:t>按其</w:t>
      </w:r>
      <w:r>
        <w:rPr>
          <w:rFonts w:ascii="仿宋_GB2312" w:eastAsia="仿宋_GB2312" w:hAnsi="仿宋" w:hint="eastAsia"/>
          <w:sz w:val="32"/>
          <w:szCs w:val="32"/>
        </w:rPr>
        <w:t>项目核定总</w:t>
      </w:r>
      <w:r>
        <w:rPr>
          <w:rFonts w:ascii="仿宋_GB2312" w:eastAsia="仿宋_GB2312" w:hAnsi="仿宋"/>
          <w:sz w:val="32"/>
          <w:szCs w:val="32"/>
        </w:rPr>
        <w:t>投入的</w:t>
      </w:r>
      <w:r>
        <w:rPr>
          <w:rFonts w:ascii="仿宋_GB2312" w:eastAsia="仿宋_GB2312" w:hAnsi="仿宋" w:hint="eastAsia"/>
          <w:sz w:val="32"/>
          <w:szCs w:val="32"/>
        </w:rPr>
        <w:t>5</w:t>
      </w:r>
      <w:r>
        <w:rPr>
          <w:rFonts w:ascii="仿宋_GB2312" w:eastAsia="仿宋_GB2312" w:hAnsi="仿宋"/>
          <w:sz w:val="32"/>
          <w:szCs w:val="32"/>
        </w:rPr>
        <w:t>0%</w:t>
      </w:r>
      <w:r>
        <w:rPr>
          <w:rFonts w:eastAsia="仿宋_GB2312" w:cs="Calibri"/>
          <w:sz w:val="32"/>
          <w:szCs w:val="32"/>
        </w:rPr>
        <w:t> </w:t>
      </w:r>
      <w:r>
        <w:rPr>
          <w:rFonts w:ascii="仿宋_GB2312" w:eastAsia="仿宋_GB2312" w:hAnsi="仿宋"/>
          <w:sz w:val="32"/>
          <w:szCs w:val="32"/>
        </w:rPr>
        <w:t>给予补足</w:t>
      </w:r>
      <w:r>
        <w:rPr>
          <w:rFonts w:ascii="仿宋_GB2312" w:eastAsia="仿宋_GB2312" w:hAnsi="仿宋" w:hint="eastAsia"/>
          <w:sz w:val="32"/>
          <w:szCs w:val="32"/>
        </w:rPr>
        <w:t>。</w:t>
      </w:r>
    </w:p>
    <w:p w14:paraId="196D0B1B" w14:textId="77777777" w:rsidR="00BB1C7C" w:rsidRDefault="00000000">
      <w:pPr>
        <w:snapToGrid w:val="0"/>
        <w:spacing w:line="590" w:lineRule="exact"/>
        <w:ind w:firstLineChars="200" w:firstLine="640"/>
        <w:rPr>
          <w:rFonts w:ascii="黑体" w:eastAsia="黑体" w:hAnsi="黑体" w:hint="eastAsia"/>
          <w:sz w:val="32"/>
          <w:szCs w:val="32"/>
        </w:rPr>
      </w:pPr>
      <w:r>
        <w:rPr>
          <w:rFonts w:ascii="黑体" w:eastAsia="黑体" w:hAnsi="黑体" w:hint="eastAsia"/>
          <w:sz w:val="32"/>
          <w:szCs w:val="32"/>
        </w:rPr>
        <w:t>第六条 鼓励打造绿色低碳项目</w:t>
      </w:r>
    </w:p>
    <w:p w14:paraId="585FE73A" w14:textId="77777777" w:rsidR="00BB1C7C" w:rsidRDefault="00000000">
      <w:pPr>
        <w:snapToGrid w:val="0"/>
        <w:spacing w:line="590"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对获评国家级绿色工厂（绿色工业园区）、省级绿色工厂（绿色工业园区）的，分别予以30万元、15万元的一次性奖励。支持企业开展低零碳升级改造，对获得国家级、省级低零碳工厂认定的，分别给予30万元、15万元的一次性奖励。</w:t>
      </w:r>
    </w:p>
    <w:p w14:paraId="15EA4206" w14:textId="77777777" w:rsidR="00BB1C7C" w:rsidRDefault="00000000">
      <w:pPr>
        <w:snapToGrid w:val="0"/>
        <w:spacing w:line="590"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同一企业的荣誉升级奖励（含绿色工厂、绿色工业园区、低零碳工厂）按照累进补差的原则，补足至其可享受的最高奖励金额。</w:t>
      </w:r>
    </w:p>
    <w:p w14:paraId="5B78A917" w14:textId="77777777" w:rsidR="00BB1C7C" w:rsidRDefault="00000000">
      <w:pPr>
        <w:snapToGrid w:val="0"/>
        <w:spacing w:line="590" w:lineRule="exact"/>
        <w:jc w:val="center"/>
        <w:rPr>
          <w:rFonts w:ascii="黑体" w:eastAsia="黑体" w:hAnsi="黑体" w:hint="eastAsia"/>
          <w:sz w:val="32"/>
          <w:szCs w:val="32"/>
        </w:rPr>
      </w:pPr>
      <w:r>
        <w:rPr>
          <w:rFonts w:ascii="黑体" w:eastAsia="黑体" w:hAnsi="黑体" w:hint="eastAsia"/>
          <w:sz w:val="32"/>
          <w:szCs w:val="32"/>
        </w:rPr>
        <w:t>第三章 支持能级提升</w:t>
      </w:r>
    </w:p>
    <w:p w14:paraId="3348BA17" w14:textId="77777777" w:rsidR="00BB1C7C" w:rsidRDefault="00000000">
      <w:pPr>
        <w:snapToGrid w:val="0"/>
        <w:spacing w:line="590" w:lineRule="exact"/>
        <w:ind w:firstLineChars="200" w:firstLine="640"/>
        <w:rPr>
          <w:rFonts w:ascii="黑体" w:eastAsia="黑体" w:hAnsi="黑体" w:hint="eastAsia"/>
          <w:sz w:val="32"/>
          <w:szCs w:val="32"/>
        </w:rPr>
      </w:pPr>
      <w:r>
        <w:rPr>
          <w:rFonts w:ascii="黑体" w:eastAsia="黑体" w:hAnsi="黑体" w:hint="eastAsia"/>
          <w:sz w:val="32"/>
          <w:szCs w:val="32"/>
        </w:rPr>
        <w:t>第七条 支持企业增产增效</w:t>
      </w:r>
    </w:p>
    <w:p w14:paraId="07433B77" w14:textId="77777777" w:rsidR="00BB1C7C" w:rsidRDefault="00000000">
      <w:pPr>
        <w:snapToGrid w:val="0"/>
        <w:spacing w:line="59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对首次纳入规模以上工业企业的，最高给予企业30万元奖励。对年度产值2000万元以上的，根据企业增长情况，最高按</w:t>
      </w:r>
      <w:r>
        <w:rPr>
          <w:rFonts w:ascii="仿宋_GB2312" w:eastAsia="仿宋_GB2312" w:hAnsi="黑体"/>
          <w:sz w:val="32"/>
          <w:szCs w:val="32"/>
        </w:rPr>
        <w:t>其</w:t>
      </w:r>
      <w:r>
        <w:rPr>
          <w:rFonts w:ascii="仿宋_GB2312" w:eastAsia="仿宋_GB2312" w:hAnsi="黑体" w:hint="eastAsia"/>
          <w:sz w:val="32"/>
          <w:szCs w:val="32"/>
        </w:rPr>
        <w:t>实际工业产值增量部分的0.2%给予奖励，单家企业每年该项奖励金额不超过500万元。</w:t>
      </w:r>
    </w:p>
    <w:p w14:paraId="128FC625" w14:textId="77777777" w:rsidR="00BB1C7C" w:rsidRDefault="00000000">
      <w:pPr>
        <w:snapToGrid w:val="0"/>
        <w:spacing w:line="590" w:lineRule="exact"/>
        <w:ind w:firstLineChars="200" w:firstLine="640"/>
        <w:rPr>
          <w:rFonts w:ascii="黑体" w:eastAsia="黑体" w:hAnsi="黑体" w:hint="eastAsia"/>
          <w:sz w:val="32"/>
          <w:szCs w:val="32"/>
        </w:rPr>
      </w:pPr>
      <w:r>
        <w:rPr>
          <w:rFonts w:ascii="黑体" w:eastAsia="黑体" w:hAnsi="黑体" w:hint="eastAsia"/>
          <w:sz w:val="32"/>
          <w:szCs w:val="32"/>
        </w:rPr>
        <w:t>第八条 梯度培育优质企业</w:t>
      </w:r>
    </w:p>
    <w:p w14:paraId="34F4BB7A" w14:textId="77777777" w:rsidR="00BB1C7C" w:rsidRDefault="00000000">
      <w:pPr>
        <w:snapToGrid w:val="0"/>
        <w:spacing w:line="59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对获评为国家级制造业单项冠军企业、国家级专精特新“小巨人”企业的，分别给予最高100万元、50万元奖励。</w:t>
      </w:r>
    </w:p>
    <w:p w14:paraId="446F594B" w14:textId="77777777" w:rsidR="00BB1C7C" w:rsidRDefault="00000000">
      <w:pPr>
        <w:snapToGrid w:val="0"/>
        <w:spacing w:line="590" w:lineRule="exact"/>
        <w:ind w:firstLineChars="200" w:firstLine="640"/>
        <w:rPr>
          <w:rFonts w:ascii="黑体" w:eastAsia="黑体" w:hAnsi="黑体" w:hint="eastAsia"/>
          <w:sz w:val="32"/>
          <w:szCs w:val="32"/>
        </w:rPr>
      </w:pPr>
      <w:r>
        <w:rPr>
          <w:rFonts w:ascii="黑体" w:eastAsia="黑体" w:hAnsi="黑体" w:hint="eastAsia"/>
          <w:sz w:val="32"/>
          <w:szCs w:val="32"/>
        </w:rPr>
        <w:lastRenderedPageBreak/>
        <w:t>第九条 支持产业链协同发展</w:t>
      </w:r>
    </w:p>
    <w:p w14:paraId="45E71EF1" w14:textId="77777777" w:rsidR="00BB1C7C" w:rsidRDefault="00000000">
      <w:pPr>
        <w:snapToGrid w:val="0"/>
        <w:spacing w:line="590"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黑体" w:hint="eastAsia"/>
          <w:sz w:val="32"/>
          <w:szCs w:val="32"/>
        </w:rPr>
        <w:t>支持企业开展产业链供应链协同对接，对首次建立产业链对接合作且年度采购总额超300万元的，最高按其连续12个月内实际采购总额的10%予以奖励。单家企业年度最高奖励不超过300万元。</w:t>
      </w:r>
    </w:p>
    <w:p w14:paraId="76B02294" w14:textId="77777777" w:rsidR="00BB1C7C" w:rsidRDefault="00000000">
      <w:pPr>
        <w:spacing w:line="590" w:lineRule="exact"/>
        <w:jc w:val="center"/>
        <w:rPr>
          <w:rFonts w:ascii="黑体" w:eastAsia="黑体" w:hAnsi="黑体" w:hint="eastAsia"/>
          <w:sz w:val="32"/>
          <w:szCs w:val="32"/>
        </w:rPr>
      </w:pPr>
      <w:r>
        <w:rPr>
          <w:rFonts w:ascii="黑体" w:eastAsia="黑体" w:hAnsi="黑体" w:hint="eastAsia"/>
          <w:sz w:val="32"/>
          <w:szCs w:val="32"/>
        </w:rPr>
        <w:t>第四章 鼓励产融结合</w:t>
      </w:r>
    </w:p>
    <w:p w14:paraId="40F8E374" w14:textId="77777777" w:rsidR="00BB1C7C" w:rsidRDefault="00000000">
      <w:pPr>
        <w:snapToGrid w:val="0"/>
        <w:spacing w:line="590" w:lineRule="exact"/>
        <w:ind w:firstLineChars="200" w:firstLine="640"/>
        <w:rPr>
          <w:rFonts w:ascii="黑体" w:eastAsia="黑体" w:hAnsi="黑体" w:hint="eastAsia"/>
          <w:sz w:val="32"/>
          <w:szCs w:val="32"/>
        </w:rPr>
      </w:pPr>
      <w:r>
        <w:rPr>
          <w:rFonts w:ascii="黑体" w:eastAsia="黑体" w:hAnsi="黑体" w:hint="eastAsia"/>
          <w:sz w:val="32"/>
          <w:szCs w:val="32"/>
        </w:rPr>
        <w:t>第十条 支持“信易贷”融资</w:t>
      </w:r>
    </w:p>
    <w:p w14:paraId="273AAE90" w14:textId="77777777" w:rsidR="00BB1C7C" w:rsidRDefault="00000000">
      <w:pPr>
        <w:snapToGrid w:val="0"/>
        <w:spacing w:line="59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1.合作银行为科技型中小企业办理“信易贷”金融业务，单家企业享受政策的贷款额度不高于500万元且不低于200万元。</w:t>
      </w:r>
    </w:p>
    <w:p w14:paraId="1147807D" w14:textId="77777777" w:rsidR="00BB1C7C" w:rsidRDefault="00000000">
      <w:pPr>
        <w:snapToGrid w:val="0"/>
        <w:spacing w:line="59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2.设立“信易贷”风险补偿资金共担贷款风险，补偿合作银行“信易贷”贷款本金损失的70%。</w:t>
      </w:r>
    </w:p>
    <w:p w14:paraId="7F18FB65" w14:textId="77777777" w:rsidR="00BB1C7C" w:rsidRDefault="00000000">
      <w:pPr>
        <w:snapToGrid w:val="0"/>
        <w:spacing w:line="590" w:lineRule="exact"/>
        <w:ind w:firstLineChars="200" w:firstLine="640"/>
        <w:rPr>
          <w:rFonts w:ascii="黑体" w:eastAsia="黑体" w:hAnsi="黑体" w:hint="eastAsia"/>
          <w:sz w:val="32"/>
          <w:szCs w:val="32"/>
        </w:rPr>
      </w:pPr>
      <w:r>
        <w:rPr>
          <w:rFonts w:ascii="仿宋_GB2312" w:eastAsia="仿宋_GB2312" w:hAnsi="仿宋" w:hint="eastAsia"/>
          <w:sz w:val="32"/>
          <w:szCs w:val="32"/>
        </w:rPr>
        <w:t>3.对当年度资格有效的国家级高新技术企业、专精特新“小巨人”企业、专精特新中小企业、创新型中小企业、市级科技型中小企业，贷款结清后最高补贴企业实缴利息的20%。</w:t>
      </w:r>
    </w:p>
    <w:p w14:paraId="7C715689" w14:textId="77777777" w:rsidR="00BB1C7C" w:rsidRDefault="00000000">
      <w:pPr>
        <w:snapToGrid w:val="0"/>
        <w:spacing w:line="590" w:lineRule="exact"/>
        <w:ind w:firstLineChars="200" w:firstLine="640"/>
        <w:rPr>
          <w:rFonts w:ascii="黑体" w:eastAsia="黑体" w:hAnsi="黑体" w:hint="eastAsia"/>
          <w:sz w:val="32"/>
          <w:szCs w:val="32"/>
        </w:rPr>
      </w:pPr>
      <w:r>
        <w:rPr>
          <w:rFonts w:ascii="黑体" w:eastAsia="黑体" w:hAnsi="黑体" w:hint="eastAsia"/>
          <w:sz w:val="32"/>
          <w:szCs w:val="32"/>
        </w:rPr>
        <w:t>第十一条 支持“税易贷”融资</w:t>
      </w:r>
    </w:p>
    <w:p w14:paraId="2311C7EC" w14:textId="77777777" w:rsidR="00BB1C7C" w:rsidRDefault="00000000">
      <w:pPr>
        <w:snapToGrid w:val="0"/>
        <w:spacing w:line="59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1.合作担保机构为相关科技型中小企业办理“税易贷”金融业务，单家企业享受政策的贷款额度不高于2000万元。</w:t>
      </w:r>
    </w:p>
    <w:p w14:paraId="7C2F6FD7" w14:textId="77777777" w:rsidR="00BB1C7C" w:rsidRDefault="00000000">
      <w:pPr>
        <w:snapToGrid w:val="0"/>
        <w:spacing w:line="59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2.设立“税易贷”风险补偿资金共担贷款风险，补偿合作担保机构“税易贷”贷款本金损失的50%。</w:t>
      </w:r>
    </w:p>
    <w:p w14:paraId="67BCA41F" w14:textId="77777777" w:rsidR="00BB1C7C" w:rsidRDefault="00000000">
      <w:pPr>
        <w:snapToGrid w:val="0"/>
        <w:spacing w:line="59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3.企业</w:t>
      </w:r>
      <w:r>
        <w:rPr>
          <w:rFonts w:ascii="仿宋_GB2312" w:eastAsia="仿宋_GB2312" w:hAnsi="仿宋"/>
          <w:sz w:val="32"/>
          <w:szCs w:val="32"/>
        </w:rPr>
        <w:t>按照</w:t>
      </w:r>
      <w:r>
        <w:rPr>
          <w:rFonts w:ascii="仿宋_GB2312" w:eastAsia="仿宋_GB2312" w:hAnsi="仿宋" w:hint="eastAsia"/>
          <w:sz w:val="32"/>
          <w:szCs w:val="32"/>
        </w:rPr>
        <w:t>不超过担保金额的0.5%</w:t>
      </w:r>
      <w:r>
        <w:rPr>
          <w:rFonts w:ascii="仿宋_GB2312" w:eastAsia="仿宋_GB2312" w:hAnsi="仿宋"/>
          <w:sz w:val="32"/>
          <w:szCs w:val="32"/>
        </w:rPr>
        <w:t>支付担保费</w:t>
      </w:r>
      <w:r>
        <w:rPr>
          <w:rFonts w:ascii="仿宋_GB2312" w:eastAsia="仿宋_GB2312" w:hAnsi="仿宋" w:hint="eastAsia"/>
          <w:sz w:val="32"/>
          <w:szCs w:val="32"/>
        </w:rPr>
        <w:t>，</w:t>
      </w:r>
      <w:r>
        <w:rPr>
          <w:rFonts w:ascii="仿宋_GB2312" w:eastAsia="仿宋_GB2312" w:hAnsi="仿宋"/>
          <w:sz w:val="32"/>
          <w:szCs w:val="32"/>
        </w:rPr>
        <w:t>待</w:t>
      </w:r>
      <w:r>
        <w:rPr>
          <w:rFonts w:ascii="仿宋_GB2312" w:eastAsia="仿宋_GB2312" w:hAnsi="仿宋" w:hint="eastAsia"/>
          <w:sz w:val="32"/>
          <w:szCs w:val="32"/>
        </w:rPr>
        <w:t>贷款结清后</w:t>
      </w:r>
      <w:r>
        <w:rPr>
          <w:rFonts w:ascii="仿宋_GB2312" w:eastAsia="仿宋_GB2312" w:hAnsi="仿宋"/>
          <w:sz w:val="32"/>
          <w:szCs w:val="32"/>
        </w:rPr>
        <w:t>，高新区</w:t>
      </w:r>
      <w:r>
        <w:rPr>
          <w:rFonts w:ascii="仿宋_GB2312" w:eastAsia="仿宋_GB2312" w:hAnsi="仿宋" w:hint="eastAsia"/>
          <w:sz w:val="32"/>
          <w:szCs w:val="32"/>
        </w:rPr>
        <w:t>按企业实际支付担保费的3倍给予担保机构</w:t>
      </w:r>
      <w:r>
        <w:rPr>
          <w:rFonts w:ascii="仿宋_GB2312" w:eastAsia="仿宋_GB2312" w:hAnsi="仿宋" w:hint="eastAsia"/>
          <w:sz w:val="32"/>
          <w:szCs w:val="32"/>
        </w:rPr>
        <w:lastRenderedPageBreak/>
        <w:t>补助。</w:t>
      </w:r>
    </w:p>
    <w:p w14:paraId="047230A1" w14:textId="77777777" w:rsidR="00BB1C7C" w:rsidRDefault="00000000">
      <w:pPr>
        <w:snapToGrid w:val="0"/>
        <w:spacing w:line="590" w:lineRule="exact"/>
        <w:ind w:firstLineChars="200" w:firstLine="640"/>
        <w:rPr>
          <w:rFonts w:ascii="黑体" w:eastAsia="黑体" w:hAnsi="黑体" w:hint="eastAsia"/>
          <w:sz w:val="32"/>
          <w:szCs w:val="32"/>
        </w:rPr>
      </w:pPr>
      <w:r>
        <w:rPr>
          <w:rFonts w:ascii="仿宋_GB2312" w:eastAsia="仿宋_GB2312" w:hAnsi="仿宋" w:hint="eastAsia"/>
          <w:sz w:val="32"/>
          <w:szCs w:val="32"/>
        </w:rPr>
        <w:t>4.</w:t>
      </w:r>
      <w:r>
        <w:rPr>
          <w:rFonts w:ascii="仿宋_GB2312" w:eastAsia="仿宋_GB2312" w:hAnsi="仿宋"/>
          <w:sz w:val="32"/>
          <w:szCs w:val="32"/>
        </w:rPr>
        <w:t>企业</w:t>
      </w:r>
      <w:r>
        <w:rPr>
          <w:rFonts w:ascii="仿宋_GB2312" w:eastAsia="仿宋_GB2312" w:hAnsi="仿宋" w:hint="eastAsia"/>
          <w:sz w:val="32"/>
          <w:szCs w:val="32"/>
        </w:rPr>
        <w:t>贷款结清后</w:t>
      </w:r>
      <w:r>
        <w:rPr>
          <w:rFonts w:ascii="仿宋_GB2312" w:eastAsia="仿宋_GB2312" w:hAnsi="仿宋"/>
          <w:sz w:val="32"/>
          <w:szCs w:val="32"/>
        </w:rPr>
        <w:t>，</w:t>
      </w:r>
      <w:r>
        <w:rPr>
          <w:rFonts w:ascii="仿宋_GB2312" w:eastAsia="仿宋_GB2312" w:hAnsi="仿宋" w:hint="eastAsia"/>
          <w:sz w:val="32"/>
          <w:szCs w:val="32"/>
        </w:rPr>
        <w:t>最高</w:t>
      </w:r>
      <w:r>
        <w:rPr>
          <w:rFonts w:ascii="仿宋_GB2312" w:eastAsia="仿宋_GB2312" w:hAnsi="仿宋"/>
          <w:sz w:val="32"/>
          <w:szCs w:val="32"/>
        </w:rPr>
        <w:t>按其实</w:t>
      </w:r>
      <w:r>
        <w:rPr>
          <w:rFonts w:ascii="仿宋_GB2312" w:eastAsia="仿宋_GB2312" w:hAnsi="仿宋" w:hint="eastAsia"/>
          <w:sz w:val="32"/>
          <w:szCs w:val="32"/>
        </w:rPr>
        <w:t>缴利息的20%</w:t>
      </w:r>
      <w:r>
        <w:rPr>
          <w:rFonts w:ascii="仿宋_GB2312" w:eastAsia="仿宋_GB2312" w:hAnsi="仿宋"/>
          <w:sz w:val="32"/>
          <w:szCs w:val="32"/>
        </w:rPr>
        <w:t>予以补助</w:t>
      </w:r>
      <w:r>
        <w:rPr>
          <w:rFonts w:ascii="仿宋_GB2312" w:eastAsia="仿宋_GB2312" w:hAnsi="仿宋" w:hint="eastAsia"/>
          <w:sz w:val="32"/>
          <w:szCs w:val="32"/>
        </w:rPr>
        <w:t>。</w:t>
      </w:r>
    </w:p>
    <w:p w14:paraId="2BC04DC8" w14:textId="77777777" w:rsidR="00BB1C7C" w:rsidRDefault="00000000">
      <w:pPr>
        <w:snapToGrid w:val="0"/>
        <w:spacing w:line="590" w:lineRule="exact"/>
        <w:ind w:firstLineChars="200" w:firstLine="640"/>
        <w:rPr>
          <w:rFonts w:ascii="黑体" w:eastAsia="黑体" w:hAnsi="黑体" w:hint="eastAsia"/>
          <w:sz w:val="32"/>
          <w:szCs w:val="32"/>
        </w:rPr>
      </w:pPr>
      <w:r>
        <w:rPr>
          <w:rFonts w:ascii="黑体" w:eastAsia="黑体" w:hAnsi="黑体" w:hint="eastAsia"/>
          <w:sz w:val="32"/>
          <w:szCs w:val="32"/>
        </w:rPr>
        <w:t>第十二条 支持“厂易贷”融资</w:t>
      </w:r>
    </w:p>
    <w:p w14:paraId="0B74BB77" w14:textId="77777777" w:rsidR="00BB1C7C" w:rsidRDefault="00000000">
      <w:pPr>
        <w:snapToGrid w:val="0"/>
        <w:spacing w:line="59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1.合作金融机构为自有或其关联企业自有的火炬高新区园区内厂房的中小企业办理“厂易贷”金融业务，申请额度最高3000万元。</w:t>
      </w:r>
    </w:p>
    <w:p w14:paraId="1848747D" w14:textId="77777777" w:rsidR="00BB1C7C" w:rsidRDefault="00000000">
      <w:pPr>
        <w:snapToGrid w:val="0"/>
        <w:spacing w:line="59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2.设立“厂易贷”风险补偿资金共担贷款风险，补偿合作金融机构“厂易贷”贷款本金损失的50%。</w:t>
      </w:r>
    </w:p>
    <w:p w14:paraId="3B5B8D2C" w14:textId="77777777" w:rsidR="00BB1C7C" w:rsidRDefault="00000000">
      <w:pPr>
        <w:snapToGrid w:val="0"/>
        <w:spacing w:line="59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3.企业按照不超过担保金额的0.5%支付担保费，</w:t>
      </w:r>
      <w:r>
        <w:rPr>
          <w:rFonts w:ascii="仿宋_GB2312" w:eastAsia="仿宋_GB2312" w:hAnsi="仿宋"/>
          <w:sz w:val="32"/>
          <w:szCs w:val="32"/>
        </w:rPr>
        <w:t>待</w:t>
      </w:r>
      <w:r>
        <w:rPr>
          <w:rFonts w:ascii="仿宋_GB2312" w:eastAsia="仿宋_GB2312" w:hAnsi="仿宋" w:hint="eastAsia"/>
          <w:sz w:val="32"/>
          <w:szCs w:val="32"/>
        </w:rPr>
        <w:t>贷款结清后</w:t>
      </w:r>
      <w:r>
        <w:rPr>
          <w:rFonts w:ascii="仿宋_GB2312" w:eastAsia="仿宋_GB2312" w:hAnsi="仿宋"/>
          <w:sz w:val="32"/>
          <w:szCs w:val="32"/>
        </w:rPr>
        <w:t>，高新区</w:t>
      </w:r>
      <w:r>
        <w:rPr>
          <w:rFonts w:ascii="仿宋_GB2312" w:eastAsia="仿宋_GB2312" w:hAnsi="仿宋" w:hint="eastAsia"/>
          <w:sz w:val="32"/>
          <w:szCs w:val="32"/>
        </w:rPr>
        <w:t>按</w:t>
      </w:r>
      <w:r>
        <w:rPr>
          <w:rFonts w:ascii="仿宋_GB2312" w:eastAsia="仿宋_GB2312" w:hAnsi="仿宋"/>
          <w:sz w:val="32"/>
          <w:szCs w:val="32"/>
        </w:rPr>
        <w:t>企业</w:t>
      </w:r>
      <w:r>
        <w:rPr>
          <w:rFonts w:ascii="仿宋_GB2312" w:eastAsia="仿宋_GB2312" w:hAnsi="仿宋" w:hint="eastAsia"/>
          <w:sz w:val="32"/>
          <w:szCs w:val="32"/>
        </w:rPr>
        <w:t>实际支付担保费的3倍给予担保机构补助。</w:t>
      </w:r>
    </w:p>
    <w:p w14:paraId="3A5261B0" w14:textId="77777777" w:rsidR="00BB1C7C" w:rsidRDefault="00000000">
      <w:pPr>
        <w:snapToGrid w:val="0"/>
        <w:spacing w:line="59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4.</w:t>
      </w:r>
      <w:r>
        <w:rPr>
          <w:rFonts w:ascii="仿宋_GB2312" w:eastAsia="仿宋_GB2312" w:hAnsi="仿宋"/>
          <w:sz w:val="32"/>
          <w:szCs w:val="32"/>
        </w:rPr>
        <w:t>企业</w:t>
      </w:r>
      <w:r>
        <w:rPr>
          <w:rFonts w:ascii="仿宋_GB2312" w:eastAsia="仿宋_GB2312" w:hAnsi="仿宋" w:hint="eastAsia"/>
          <w:sz w:val="32"/>
          <w:szCs w:val="32"/>
        </w:rPr>
        <w:t>贷款结清后</w:t>
      </w:r>
      <w:r>
        <w:rPr>
          <w:rFonts w:ascii="仿宋_GB2312" w:eastAsia="仿宋_GB2312" w:hAnsi="仿宋"/>
          <w:sz w:val="32"/>
          <w:szCs w:val="32"/>
        </w:rPr>
        <w:t>，</w:t>
      </w:r>
      <w:r>
        <w:rPr>
          <w:rFonts w:ascii="仿宋_GB2312" w:eastAsia="仿宋_GB2312" w:hAnsi="仿宋" w:hint="eastAsia"/>
          <w:sz w:val="32"/>
          <w:szCs w:val="32"/>
        </w:rPr>
        <w:t>最高</w:t>
      </w:r>
      <w:r>
        <w:rPr>
          <w:rFonts w:ascii="仿宋_GB2312" w:eastAsia="仿宋_GB2312" w:hAnsi="仿宋"/>
          <w:sz w:val="32"/>
          <w:szCs w:val="32"/>
        </w:rPr>
        <w:t>按其</w:t>
      </w:r>
      <w:r>
        <w:rPr>
          <w:rFonts w:ascii="仿宋_GB2312" w:eastAsia="仿宋_GB2312" w:hAnsi="仿宋" w:hint="eastAsia"/>
          <w:sz w:val="32"/>
          <w:szCs w:val="32"/>
        </w:rPr>
        <w:t>实缴利息的20%</w:t>
      </w:r>
      <w:r>
        <w:rPr>
          <w:rFonts w:ascii="仿宋_GB2312" w:eastAsia="仿宋_GB2312" w:hAnsi="仿宋"/>
          <w:sz w:val="32"/>
          <w:szCs w:val="32"/>
        </w:rPr>
        <w:t>予以补助</w:t>
      </w:r>
      <w:r>
        <w:rPr>
          <w:rFonts w:ascii="仿宋_GB2312" w:eastAsia="仿宋_GB2312" w:hAnsi="仿宋" w:hint="eastAsia"/>
          <w:sz w:val="32"/>
          <w:szCs w:val="32"/>
        </w:rPr>
        <w:t>。</w:t>
      </w:r>
    </w:p>
    <w:p w14:paraId="057A816C" w14:textId="77777777" w:rsidR="00BB1C7C" w:rsidRDefault="00000000">
      <w:pPr>
        <w:snapToGrid w:val="0"/>
        <w:spacing w:line="590" w:lineRule="exact"/>
        <w:ind w:firstLineChars="200" w:firstLine="640"/>
        <w:rPr>
          <w:rFonts w:ascii="黑体" w:eastAsia="黑体" w:hAnsi="黑体" w:hint="eastAsia"/>
          <w:sz w:val="32"/>
          <w:szCs w:val="32"/>
        </w:rPr>
      </w:pPr>
      <w:r>
        <w:rPr>
          <w:rFonts w:ascii="黑体" w:eastAsia="黑体" w:hAnsi="黑体" w:hint="eastAsia"/>
          <w:sz w:val="32"/>
          <w:szCs w:val="32"/>
        </w:rPr>
        <w:t>第十三条 鼓励金融合作</w:t>
      </w:r>
    </w:p>
    <w:p w14:paraId="47C3AF9A" w14:textId="77777777" w:rsidR="00BB1C7C" w:rsidRDefault="00000000">
      <w:pPr>
        <w:snapToGrid w:val="0"/>
        <w:spacing w:line="59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1.设立风险补偿资金总额4000万元，“信易贷”、“税易贷”、“厂易贷”当年度累计补偿金额达到</w:t>
      </w:r>
      <w:r>
        <w:rPr>
          <w:rFonts w:ascii="仿宋_GB2312" w:eastAsia="仿宋_GB2312" w:hAnsi="仿宋"/>
          <w:sz w:val="32"/>
          <w:szCs w:val="32"/>
        </w:rPr>
        <w:t>资金上限，</w:t>
      </w:r>
      <w:r>
        <w:rPr>
          <w:rFonts w:ascii="仿宋_GB2312" w:eastAsia="仿宋_GB2312" w:hAnsi="仿宋" w:hint="eastAsia"/>
          <w:sz w:val="32"/>
          <w:szCs w:val="32"/>
        </w:rPr>
        <w:t>即停止</w:t>
      </w:r>
      <w:r>
        <w:rPr>
          <w:rFonts w:ascii="仿宋_GB2312" w:eastAsia="仿宋_GB2312" w:hAnsi="仿宋"/>
          <w:sz w:val="32"/>
          <w:szCs w:val="32"/>
        </w:rPr>
        <w:t>年度</w:t>
      </w:r>
      <w:r>
        <w:rPr>
          <w:rFonts w:ascii="仿宋_GB2312" w:eastAsia="仿宋_GB2312" w:hAnsi="仿宋" w:hint="eastAsia"/>
          <w:sz w:val="32"/>
          <w:szCs w:val="32"/>
        </w:rPr>
        <w:t>补偿</w:t>
      </w:r>
      <w:r>
        <w:rPr>
          <w:rFonts w:ascii="仿宋_GB2312" w:eastAsia="仿宋_GB2312" w:hAnsi="仿宋"/>
          <w:sz w:val="32"/>
          <w:szCs w:val="32"/>
        </w:rPr>
        <w:t>工作</w:t>
      </w:r>
      <w:r>
        <w:rPr>
          <w:rFonts w:ascii="仿宋_GB2312" w:eastAsia="仿宋_GB2312" w:hAnsi="仿宋" w:hint="eastAsia"/>
          <w:sz w:val="32"/>
          <w:szCs w:val="32"/>
        </w:rPr>
        <w:t>。</w:t>
      </w:r>
    </w:p>
    <w:p w14:paraId="39347698" w14:textId="77777777" w:rsidR="00BB1C7C" w:rsidRDefault="00000000">
      <w:pPr>
        <w:snapToGrid w:val="0"/>
        <w:spacing w:line="59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2.鼓励金融机构</w:t>
      </w:r>
      <w:r>
        <w:rPr>
          <w:rFonts w:ascii="仿宋_GB2312" w:eastAsia="仿宋_GB2312" w:hAnsi="仿宋"/>
          <w:sz w:val="32"/>
          <w:szCs w:val="32"/>
        </w:rPr>
        <w:t>大力</w:t>
      </w:r>
      <w:r>
        <w:rPr>
          <w:rFonts w:ascii="仿宋_GB2312" w:eastAsia="仿宋_GB2312" w:hAnsi="仿宋" w:hint="eastAsia"/>
          <w:sz w:val="32"/>
          <w:szCs w:val="32"/>
        </w:rPr>
        <w:t>创新金融产品</w:t>
      </w:r>
      <w:r>
        <w:rPr>
          <w:rFonts w:ascii="仿宋_GB2312" w:eastAsia="仿宋_GB2312" w:hAnsi="仿宋"/>
          <w:sz w:val="32"/>
          <w:szCs w:val="32"/>
        </w:rPr>
        <w:t>，积极</w:t>
      </w:r>
      <w:r>
        <w:rPr>
          <w:rFonts w:ascii="仿宋_GB2312" w:eastAsia="仿宋_GB2312" w:hAnsi="仿宋" w:hint="eastAsia"/>
          <w:sz w:val="32"/>
          <w:szCs w:val="32"/>
        </w:rPr>
        <w:t>优化金融服务，高新区每年对优秀合作金融机构予以表扬。</w:t>
      </w:r>
    </w:p>
    <w:p w14:paraId="0169B3BF" w14:textId="77777777" w:rsidR="00BB1C7C" w:rsidRDefault="00BB1C7C">
      <w:pPr>
        <w:snapToGrid w:val="0"/>
        <w:spacing w:line="580" w:lineRule="exact"/>
        <w:ind w:firstLineChars="200" w:firstLine="640"/>
        <w:rPr>
          <w:rFonts w:ascii="仿宋_GB2312" w:eastAsia="仿宋_GB2312" w:hAnsi="仿宋_GB2312" w:cs="仿宋_GB2312" w:hint="eastAsia"/>
          <w:kern w:val="0"/>
          <w:sz w:val="32"/>
          <w:szCs w:val="32"/>
          <w:shd w:val="clear" w:color="auto" w:fill="FFFFFF"/>
        </w:rPr>
      </w:pPr>
    </w:p>
    <w:sectPr w:rsidR="00BB1C7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E67F8" w14:textId="77777777" w:rsidR="004B58E4" w:rsidRDefault="004B58E4">
      <w:r>
        <w:separator/>
      </w:r>
    </w:p>
  </w:endnote>
  <w:endnote w:type="continuationSeparator" w:id="0">
    <w:p w14:paraId="0317A2E7" w14:textId="77777777" w:rsidR="004B58E4" w:rsidRDefault="004B5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_GB2312"/>
    <w:panose1 w:val="02010609030101010101"/>
    <w:charset w:val="86"/>
    <w:family w:val="modern"/>
    <w:pitch w:val="fixed"/>
    <w:sig w:usb0="00000001" w:usb1="080E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9ABB" w14:textId="77777777" w:rsidR="00BB1C7C" w:rsidRDefault="00000000">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p w14:paraId="6093E37F" w14:textId="77777777" w:rsidR="00BB1C7C" w:rsidRDefault="00BB1C7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50217" w14:textId="77777777" w:rsidR="004B58E4" w:rsidRDefault="004B58E4">
      <w:r>
        <w:separator/>
      </w:r>
    </w:p>
  </w:footnote>
  <w:footnote w:type="continuationSeparator" w:id="0">
    <w:p w14:paraId="660A9D0F" w14:textId="77777777" w:rsidR="004B58E4" w:rsidRDefault="004B58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1C7C"/>
    <w:rsid w:val="004B58E4"/>
    <w:rsid w:val="004C15E6"/>
    <w:rsid w:val="00622774"/>
    <w:rsid w:val="00BB1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8D953"/>
  <w15:docId w15:val="{09C35F7D-EA30-4C50-ADF8-48340C0F6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pPr>
      <w:ind w:firstLineChars="200" w:firstLine="420"/>
    </w:pPr>
  </w:style>
  <w:style w:type="paragraph" w:styleId="a4">
    <w:name w:val="header"/>
    <w:basedOn w:val="a"/>
    <w:link w:val="a5"/>
    <w:uiPriority w:val="99"/>
    <w:pPr>
      <w:tabs>
        <w:tab w:val="center" w:pos="4153"/>
        <w:tab w:val="right" w:pos="8306"/>
      </w:tabs>
      <w:snapToGrid w:val="0"/>
      <w:jc w:val="center"/>
    </w:pPr>
    <w:rPr>
      <w:sz w:val="18"/>
      <w:szCs w:val="18"/>
    </w:rPr>
  </w:style>
  <w:style w:type="character" w:customStyle="1" w:styleId="a5">
    <w:name w:val="页眉 字符"/>
    <w:basedOn w:val="a0"/>
    <w:link w:val="a4"/>
    <w:uiPriority w:val="99"/>
    <w:rPr>
      <w:kern w:val="2"/>
      <w:sz w:val="18"/>
      <w:szCs w:val="18"/>
    </w:rPr>
  </w:style>
  <w:style w:type="paragraph" w:styleId="a6">
    <w:name w:val="footer"/>
    <w:basedOn w:val="a"/>
    <w:link w:val="a7"/>
    <w:uiPriority w:val="99"/>
    <w:pPr>
      <w:tabs>
        <w:tab w:val="center" w:pos="4153"/>
        <w:tab w:val="right" w:pos="8306"/>
      </w:tabs>
      <w:snapToGrid w:val="0"/>
      <w:jc w:val="left"/>
    </w:pPr>
    <w:rPr>
      <w:sz w:val="18"/>
      <w:szCs w:val="18"/>
    </w:rPr>
  </w:style>
  <w:style w:type="character" w:customStyle="1" w:styleId="a7">
    <w:name w:val="页脚 字符"/>
    <w:basedOn w:val="a0"/>
    <w:link w:val="a6"/>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339</Words>
  <Characters>1935</Characters>
  <Application>Microsoft Office Word</Application>
  <DocSecurity>0</DocSecurity>
  <Lines>16</Lines>
  <Paragraphs>4</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CXM</dc:creator>
  <cp:lastModifiedBy>CXM</cp:lastModifiedBy>
  <cp:revision>48</cp:revision>
  <cp:lastPrinted>2025-12-18T09:34:00Z</cp:lastPrinted>
  <dcterms:created xsi:type="dcterms:W3CDTF">2025-11-06T02:30:00Z</dcterms:created>
  <dcterms:modified xsi:type="dcterms:W3CDTF">2025-12-19T04:42:00Z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eyJoZGlkIjoiYzUzMTZhZGJlMzIyNDQwMjNlYzhkN2Q0NTNhMmUwNjkiLCJ1c2VySWQiOiI1NTMyNTE4NzcifQ==</vt:lpwstr>
  </property>
  <property fmtid="{D5CDD505-2E9C-101B-9397-08002B2CF9AE}" pid="3" name="KSOProductBuildVer">
    <vt:lpwstr>2052-12.1.0.24034</vt:lpwstr>
  </property>
  <property fmtid="{D5CDD505-2E9C-101B-9397-08002B2CF9AE}" pid="4" name="ICV">
    <vt:lpwstr>C49C8E15219A441A88691B57FB130E04_13</vt:lpwstr>
  </property>
</Properties>
</file>